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ption"/>
        <w:keepNext w:val="1"/>
        <w:spacing w:after="0"/>
        <w:jc w:val="righ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бланке организации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ФОРМА ЗАПРОСА КОММЕРЧЕСКОГО ПРЕДЛОЖЕНИЯ</w:t>
      </w:r>
    </w:p>
    <w:p>
      <w:pPr>
        <w:pStyle w:val="Normal.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НА КОМПЛЕСНОЕ ПРОЕКТИРОВАНИЕ И СОГЛАСОВАНИЕ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Уважаемый Алексей Сергеевич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!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Прошу Вас направить коммерческое предложение соответствии с нижеизложенным запросом</w:t>
      </w:r>
      <w:r>
        <w:rPr>
          <w:rFonts w:ascii="Arial" w:hAnsi="Arial"/>
          <w:sz w:val="20"/>
          <w:szCs w:val="20"/>
          <w:rtl w:val="0"/>
          <w:lang w:val="ru-RU"/>
        </w:rPr>
        <w:t>:</w:t>
      </w:r>
    </w:p>
    <w:p>
      <w:pPr>
        <w:pStyle w:val="Normal.0"/>
        <w:spacing w:before="240" w:after="200"/>
        <w:rPr>
          <w:rFonts w:ascii="Arial" w:cs="Arial" w:hAnsi="Arial" w:eastAsia="Arial"/>
          <w:sz w:val="20"/>
          <w:szCs w:val="20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34"/>
        <w:gridCol w:w="2801"/>
        <w:gridCol w:w="2552"/>
        <w:gridCol w:w="3719"/>
        <w:gridCol w:w="850"/>
      </w:tblGrid>
      <w:tr>
        <w:tblPrEx>
          <w:shd w:val="clear" w:color="auto" w:fill="4472c4"/>
        </w:tblPrEx>
        <w:trPr>
          <w:trHeight w:val="223" w:hRule="atLeast"/>
          <w:tblHeader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</w:pP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</w:pP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Сведения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  <w:jc w:val="center"/>
            </w:pP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Указания к заполнению</w:t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200"/>
              <w:jc w:val="center"/>
            </w:pP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Данные</w:t>
            </w:r>
          </w:p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Заказчик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Застройщик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Указать наименование организации</w:t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83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Технический заказчик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Указать наименование организации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определяется по результатам тендера</w:t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83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Генеральный проектировщик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Указать наименование организации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определяется по результатам тендера</w:t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3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Форма договора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Чья форма договора используется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? </w:t>
            </w:r>
          </w:p>
          <w:p>
            <w:pPr>
              <w:pStyle w:val="Normal.0"/>
              <w:bidi w:val="0"/>
              <w:spacing w:before="240" w:after="20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Заказчика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Подрядчика</w:t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Краткое наименование объекта проектирования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Кадастровый номер земельного участка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63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Градостроительный план земельного участка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при наличии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Имеется ли в наличии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требуется получить</w:t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5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Запрашиваемые услуги</w:t>
            </w:r>
          </w:p>
        </w:tc>
        <w:tc>
          <w:tcPr>
            <w:tcW w:type="dxa" w:w="2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Отметить нужное</w:t>
            </w:r>
          </w:p>
          <w:p>
            <w:pPr>
              <w:pStyle w:val="Normal.0"/>
              <w:bidi w:val="0"/>
              <w:spacing w:before="240" w:after="20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да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нет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Услуги технического заказчика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3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Инженерные изыскания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5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Эскизный проект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7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Стадия «П»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63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9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Негосударственная экспертиза проектной документации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63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1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Тендерные таблицы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для выбора Генподрядной организации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3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Стадия «Р»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5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Авторский надзор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83" w:hRule="atLeast"/>
        </w:trPr>
        <w:tc>
          <w:tcPr>
            <w:tcW w:type="dxa" w:w="5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Специализированные услуги</w:t>
            </w:r>
          </w:p>
        </w:tc>
        <w:tc>
          <w:tcPr>
            <w:tcW w:type="dxa" w:w="2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Отметить нужное</w:t>
            </w:r>
          </w:p>
          <w:p>
            <w:pPr>
              <w:pStyle w:val="Normal.0"/>
              <w:bidi w:val="0"/>
              <w:spacing w:before="240" w:after="20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да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нет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6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Вариантное проектирование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технико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экономическое сравнение вариантов строительства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8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Разработка пожарных СТУ и согласование в ГУ МЧС</w:t>
              <w:tab/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63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20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Установление санитарно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защитной зоны проектируемого предприятия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43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22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Согласование размещения тепло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 электрогенерирующих источников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ГПУ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котельные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 Комитете по энергетике и инженерному обеспечению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КЭИО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63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Класс опасности объекта по СанПин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III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IV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20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5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Перечень объектов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планируемых к проектированию и строительству</w:t>
            </w:r>
          </w:p>
        </w:tc>
        <w:tc>
          <w:tcPr>
            <w:tcW w:type="dxa" w:w="2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spacing w:before="240" w:after="20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spacing w:before="240" w:after="20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spacing w:before="240" w:after="20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before="240" w:after="20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Отметить нужное</w:t>
            </w:r>
          </w:p>
          <w:p>
            <w:pPr>
              <w:pStyle w:val="Normal.0"/>
              <w:bidi w:val="0"/>
              <w:spacing w:before="240" w:after="20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да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нет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23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Основное корпус производства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25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АБК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27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Склады готовой продукции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29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Эстакады инженерных сетей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31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Котельная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газовая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33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ЛОСы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дождевой сток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35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КПП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37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БКПТ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10/0,4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кВ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23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39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Объекты ОПО по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116-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ФЗ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компрессорные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специальные технологические трубопроводы инертных газов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Общая площадь застройки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Указать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кв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во этажей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Указать шт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83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Тип экспертизы проектной документации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Государственная региональная</w:t>
            </w:r>
          </w:p>
          <w:p>
            <w:pPr>
              <w:pStyle w:val="Normal.0"/>
              <w:bidi w:val="0"/>
              <w:spacing w:before="240" w:after="20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Государственная федеральная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ГГЭ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spacing w:before="240" w:after="20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негосударственная</w:t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Необходимость проектирования в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BIM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Да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нет</w:t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63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Предельная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предполагаемая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стоимость строительства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Указать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кв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5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Требуемый способ выдачи коммерческое предложения</w:t>
            </w:r>
          </w:p>
        </w:tc>
        <w:tc>
          <w:tcPr>
            <w:tcW w:type="dxa" w:w="2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before="240" w:after="20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Отметить нужное</w:t>
            </w:r>
          </w:p>
          <w:p>
            <w:pPr>
              <w:pStyle w:val="Normal.0"/>
              <w:bidi w:val="0"/>
              <w:spacing w:before="240" w:after="20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да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нет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40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Укрупненное коммерческое предложение 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срок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раб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дн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63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42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Детальное коммерческое предложение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срок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- 5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раб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дн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44"/>
              </w:numPr>
              <w:spacing w:before="240" w:after="200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Смета по СБЦ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срок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раб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дн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73"/>
              </w:tabs>
              <w:spacing w:before="240" w:after="200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ru-RU"/>
              </w:rPr>
              <w:tab/>
            </w:r>
          </w:p>
        </w:tc>
      </w:tr>
      <w:tr>
        <w:tblPrEx>
          <w:shd w:val="clear" w:color="auto" w:fill="cdd4e9"/>
        </w:tblPrEx>
        <w:trPr>
          <w:trHeight w:val="2003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Особые условия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after="200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ru-RU"/>
              </w:rPr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20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Заказчик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выдает схему технологических потоков с перечнем технологического оборудования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before="240" w:after="20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Генеральный проектировщик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оформляет том ТХ Технологические решения в полном объеме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87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ПП РФ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определяет потребность в складских площадях и рассчитывает взрывопожарную нагрузку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before="240" w:after="20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before="240" w:after="20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142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Ответственное лицо со стороны Заказчика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:</w:t>
      </w:r>
    </w:p>
    <w:tbl>
      <w:tblPr>
        <w:tblW w:w="10343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107"/>
        <w:gridCol w:w="5236"/>
      </w:tblGrid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Контактные данные заказчика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ФИО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должность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Тел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факс</w:t>
            </w:r>
          </w:p>
        </w:tc>
        <w:tc>
          <w:tcPr>
            <w:tcW w:type="dxa" w:w="5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5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Предпочитаемый способ связи</w:t>
            </w:r>
          </w:p>
        </w:tc>
        <w:tc>
          <w:tcPr>
            <w:tcW w:type="dxa" w:w="5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42" w:hanging="142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ind w:left="142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142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Ответственное лицо со стороны Подрядчика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ind w:left="142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10343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107"/>
        <w:gridCol w:w="5236"/>
      </w:tblGrid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Контактные данные заказчика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ФИО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должность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Директор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Алексей Сергеевич Шеховцов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Тел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факс</w:t>
            </w:r>
          </w:p>
        </w:tc>
        <w:tc>
          <w:tcPr>
            <w:tcW w:type="dxa" w:w="5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+7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921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777 64 09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5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sheh@gip.su</w:t>
            </w:r>
          </w:p>
        </w:tc>
      </w:tr>
    </w:tbl>
    <w:p>
      <w:pPr>
        <w:pStyle w:val="Normal.0"/>
        <w:widowControl w:val="0"/>
        <w:ind w:left="142" w:hanging="142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ind w:left="142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10343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107"/>
        <w:gridCol w:w="5236"/>
      </w:tblGrid>
      <w:tr>
        <w:tblPrEx>
          <w:shd w:val="clear" w:color="auto" w:fill="cdd4e9"/>
        </w:tblPrEx>
        <w:trPr>
          <w:trHeight w:val="663" w:hRule="atLeast"/>
        </w:trPr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Контактные данные заказчика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ФИО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должность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Главный инженер проектов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руководитель проектов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 всем вопросам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Евгений Сергеевич Федулов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Тел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факс</w:t>
            </w:r>
          </w:p>
        </w:tc>
        <w:tc>
          <w:tcPr>
            <w:tcW w:type="dxa" w:w="5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+7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903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095 09 10 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5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fedulov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@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gip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su</w:t>
            </w:r>
          </w:p>
        </w:tc>
      </w:tr>
    </w:tbl>
    <w:p>
      <w:pPr>
        <w:pStyle w:val="Normal.0"/>
        <w:widowControl w:val="0"/>
        <w:ind w:left="142" w:hanging="142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ind w:left="142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Краткие сведения об ООО «ЦЭИПСК»</w:t>
      </w:r>
    </w:p>
    <w:p>
      <w:pPr>
        <w:pStyle w:val="Normal.0"/>
        <w:ind w:left="142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ind w:left="142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Презентационные материалы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ind w:left="142" w:firstLine="0"/>
        <w:rPr>
          <w:rFonts w:ascii="Arial" w:cs="Arial" w:hAnsi="Arial" w:eastAsia="Arial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"https://gip.su/"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https://gip.su/</w:t>
      </w:r>
      <w:r>
        <w:rPr/>
        <w:fldChar w:fldCharType="end" w:fldLock="0"/>
      </w:r>
    </w:p>
    <w:p>
      <w:pPr>
        <w:pStyle w:val="Normal.0"/>
        <w:ind w:left="142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ind w:left="142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Некоторые статистические данные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ind w:left="142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 xml:space="preserve">Выручка </w:t>
      </w:r>
      <w:r>
        <w:rPr>
          <w:rFonts w:ascii="Arial" w:hAnsi="Arial"/>
          <w:sz w:val="20"/>
          <w:szCs w:val="20"/>
          <w:rtl w:val="0"/>
          <w:lang w:val="ru-RU"/>
        </w:rPr>
        <w:t xml:space="preserve">2019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год – </w:t>
      </w:r>
      <w:r>
        <w:rPr>
          <w:rFonts w:ascii="Arial" w:hAnsi="Arial"/>
          <w:sz w:val="20"/>
          <w:szCs w:val="20"/>
          <w:rtl w:val="0"/>
          <w:lang w:val="ru-RU"/>
        </w:rPr>
        <w:t xml:space="preserve">32,5 </w:t>
      </w:r>
      <w:r>
        <w:rPr>
          <w:rFonts w:ascii="Arial" w:hAnsi="Arial" w:hint="default"/>
          <w:sz w:val="20"/>
          <w:szCs w:val="20"/>
          <w:rtl w:val="0"/>
          <w:lang w:val="ru-RU"/>
        </w:rPr>
        <w:t>млн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>руб</w:t>
      </w:r>
      <w:r>
        <w:rPr>
          <w:rFonts w:ascii="Arial" w:hAnsi="Arial"/>
          <w:sz w:val="20"/>
          <w:szCs w:val="20"/>
          <w:rtl w:val="0"/>
          <w:lang w:val="ru-RU"/>
        </w:rPr>
        <w:t>;</w:t>
      </w:r>
    </w:p>
    <w:p>
      <w:pPr>
        <w:pStyle w:val="Normal.0"/>
        <w:ind w:left="142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 xml:space="preserve">Выручка </w:t>
      </w:r>
      <w:r>
        <w:rPr>
          <w:rFonts w:ascii="Arial" w:hAnsi="Arial"/>
          <w:sz w:val="20"/>
          <w:szCs w:val="20"/>
          <w:rtl w:val="0"/>
          <w:lang w:val="ru-RU"/>
        </w:rPr>
        <w:t xml:space="preserve">2020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год – </w:t>
      </w:r>
      <w:r>
        <w:rPr>
          <w:rFonts w:ascii="Arial" w:hAnsi="Arial"/>
          <w:sz w:val="20"/>
          <w:szCs w:val="20"/>
          <w:rtl w:val="0"/>
          <w:lang w:val="ru-RU"/>
        </w:rPr>
        <w:t xml:space="preserve">49,8 </w:t>
      </w:r>
      <w:r>
        <w:rPr>
          <w:rFonts w:ascii="Arial" w:hAnsi="Arial" w:hint="default"/>
          <w:sz w:val="20"/>
          <w:szCs w:val="20"/>
          <w:rtl w:val="0"/>
          <w:lang w:val="ru-RU"/>
        </w:rPr>
        <w:t>млн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>руб</w:t>
      </w:r>
      <w:r>
        <w:rPr>
          <w:rFonts w:ascii="Arial" w:hAnsi="Arial"/>
          <w:sz w:val="20"/>
          <w:szCs w:val="20"/>
          <w:rtl w:val="0"/>
          <w:lang w:val="ru-RU"/>
        </w:rPr>
        <w:t>;</w:t>
      </w:r>
    </w:p>
    <w:p>
      <w:pPr>
        <w:pStyle w:val="Normal.0"/>
        <w:ind w:left="142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 xml:space="preserve">Штат – </w:t>
      </w:r>
      <w:r>
        <w:rPr>
          <w:rFonts w:ascii="Arial" w:hAnsi="Arial"/>
          <w:sz w:val="20"/>
          <w:szCs w:val="20"/>
          <w:rtl w:val="0"/>
          <w:lang w:val="ru-RU"/>
        </w:rPr>
        <w:t xml:space="preserve">11 </w:t>
      </w:r>
      <w:r>
        <w:rPr>
          <w:rFonts w:ascii="Arial" w:hAnsi="Arial" w:hint="default"/>
          <w:sz w:val="20"/>
          <w:szCs w:val="20"/>
          <w:rtl w:val="0"/>
          <w:lang w:val="ru-RU"/>
        </w:rPr>
        <w:t>чел</w:t>
      </w:r>
      <w:r>
        <w:rPr>
          <w:rFonts w:ascii="Arial" w:hAnsi="Arial"/>
          <w:sz w:val="20"/>
          <w:szCs w:val="20"/>
          <w:rtl w:val="0"/>
          <w:lang w:val="ru-RU"/>
        </w:rPr>
        <w:t xml:space="preserve">., </w:t>
      </w:r>
      <w:r>
        <w:rPr>
          <w:rFonts w:ascii="Arial" w:hAnsi="Arial" w:hint="default"/>
          <w:sz w:val="20"/>
          <w:szCs w:val="20"/>
          <w:rtl w:val="0"/>
          <w:lang w:val="ru-RU"/>
        </w:rPr>
        <w:t>в т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>ч</w:t>
      </w:r>
      <w:r>
        <w:rPr>
          <w:rFonts w:ascii="Arial" w:hAnsi="Arial"/>
          <w:sz w:val="20"/>
          <w:szCs w:val="20"/>
          <w:rtl w:val="0"/>
          <w:lang w:val="ru-RU"/>
        </w:rPr>
        <w:t xml:space="preserve">. 2 </w:t>
      </w:r>
      <w:r>
        <w:rPr>
          <w:rFonts w:ascii="Arial" w:hAnsi="Arial" w:hint="default"/>
          <w:sz w:val="20"/>
          <w:szCs w:val="20"/>
          <w:rtl w:val="0"/>
          <w:lang w:val="ru-RU"/>
        </w:rPr>
        <w:t>кандидата наук</w:t>
      </w:r>
      <w:r>
        <w:rPr>
          <w:rFonts w:ascii="Arial" w:hAnsi="Arial"/>
          <w:sz w:val="20"/>
          <w:szCs w:val="20"/>
          <w:rtl w:val="0"/>
          <w:lang w:val="ru-RU"/>
        </w:rPr>
        <w:t xml:space="preserve">., 30 </w:t>
      </w:r>
      <w:r>
        <w:rPr>
          <w:rFonts w:ascii="Arial" w:hAnsi="Arial" w:hint="default"/>
          <w:sz w:val="20"/>
          <w:szCs w:val="20"/>
          <w:rtl w:val="0"/>
          <w:lang w:val="ru-RU"/>
        </w:rPr>
        <w:t>чел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постоянных подрядчиков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спец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разделы</w:t>
      </w:r>
      <w:r>
        <w:rPr>
          <w:rFonts w:ascii="Arial" w:hAnsi="Arial"/>
          <w:sz w:val="20"/>
          <w:szCs w:val="20"/>
          <w:rtl w:val="0"/>
          <w:lang w:val="ru-RU"/>
        </w:rPr>
        <w:t>).</w:t>
      </w:r>
    </w:p>
    <w:p>
      <w:pPr>
        <w:pStyle w:val="Normal.0"/>
        <w:ind w:left="142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 xml:space="preserve">Выполнено </w:t>
      </w:r>
      <w:r>
        <w:rPr>
          <w:rFonts w:ascii="Arial" w:hAnsi="Arial"/>
          <w:sz w:val="20"/>
          <w:szCs w:val="20"/>
          <w:rtl w:val="0"/>
          <w:lang w:val="ru-RU"/>
        </w:rPr>
        <w:t xml:space="preserve">- 432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объекта с </w:t>
      </w:r>
      <w:r>
        <w:rPr>
          <w:rFonts w:ascii="Arial" w:hAnsi="Arial"/>
          <w:sz w:val="20"/>
          <w:szCs w:val="20"/>
          <w:rtl w:val="0"/>
          <w:lang w:val="ru-RU"/>
        </w:rPr>
        <w:t xml:space="preserve">2007 </w:t>
      </w:r>
      <w:r>
        <w:rPr>
          <w:rFonts w:ascii="Arial" w:hAnsi="Arial" w:hint="default"/>
          <w:sz w:val="20"/>
          <w:szCs w:val="20"/>
          <w:rtl w:val="0"/>
          <w:lang w:val="ru-RU"/>
        </w:rPr>
        <w:t>года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ind w:left="142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На балансе предприятия всё необходимое поверенное оборудование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имеется допуск на объекты ОПО по </w:t>
      </w:r>
      <w:r>
        <w:rPr>
          <w:rFonts w:ascii="Arial" w:hAnsi="Arial"/>
          <w:sz w:val="20"/>
          <w:szCs w:val="20"/>
          <w:rtl w:val="0"/>
          <w:lang w:val="ru-RU"/>
        </w:rPr>
        <w:t xml:space="preserve">116 </w:t>
      </w:r>
      <w:r>
        <w:rPr>
          <w:rFonts w:ascii="Arial" w:hAnsi="Arial" w:hint="default"/>
          <w:sz w:val="20"/>
          <w:szCs w:val="20"/>
          <w:rtl w:val="0"/>
          <w:lang w:val="ru-RU"/>
        </w:rPr>
        <w:t>ФЗ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ind w:left="142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Сведения для службы безопасности Заказчика</w:t>
      </w:r>
    </w:p>
    <w:p>
      <w:pPr>
        <w:pStyle w:val="Normal.0"/>
        <w:ind w:left="142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"https://sbis.ru/contragents/7813380577/781301001"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https://sbis.ru/contragents/7813380577/781301001</w:t>
      </w:r>
      <w:r>
        <w:rPr/>
        <w:fldChar w:fldCharType="end" w:fldLock="0"/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ind w:left="142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Реквизиты ООО «ЦУП»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подрядчика для заключения договора</w:t>
      </w:r>
    </w:p>
    <w:p>
      <w:pPr>
        <w:pStyle w:val="Normal.0"/>
        <w:ind w:left="142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Полное наименование</w:t>
      </w:r>
      <w:r>
        <w:rPr>
          <w:rFonts w:ascii="Arial" w:hAnsi="Arial"/>
          <w:sz w:val="20"/>
          <w:szCs w:val="20"/>
          <w:rtl w:val="0"/>
          <w:lang w:val="ru-RU"/>
        </w:rPr>
        <w:t xml:space="preserve">: </w:t>
      </w:r>
      <w:r>
        <w:rPr>
          <w:rFonts w:ascii="Arial" w:hAnsi="Arial" w:hint="default"/>
          <w:sz w:val="20"/>
          <w:szCs w:val="20"/>
          <w:rtl w:val="0"/>
          <w:lang w:val="ru-RU"/>
        </w:rPr>
        <w:t>общество с ограниченной ответственностью «ЦЕНТР УПРАВЛЕНИЯ ПРОЕКТАМИ»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 w:hint="default"/>
          <w:sz w:val="20"/>
          <w:szCs w:val="20"/>
          <w:rtl w:val="0"/>
          <w:lang w:val="ru-RU"/>
        </w:rPr>
        <w:t>Сокращенное наименование</w:t>
      </w:r>
      <w:r>
        <w:rPr>
          <w:rFonts w:ascii="Arial" w:hAnsi="Arial"/>
          <w:sz w:val="20"/>
          <w:szCs w:val="20"/>
          <w:rtl w:val="0"/>
          <w:lang w:val="ru-RU"/>
        </w:rPr>
        <w:t xml:space="preserve">: </w:t>
      </w:r>
      <w:r>
        <w:rPr>
          <w:rFonts w:ascii="Arial" w:hAnsi="Arial" w:hint="default"/>
          <w:sz w:val="20"/>
          <w:szCs w:val="20"/>
          <w:rtl w:val="0"/>
          <w:lang w:val="ru-RU"/>
        </w:rPr>
        <w:t>ООО «ЦУП»</w:t>
      </w:r>
    </w:p>
    <w:p>
      <w:pPr>
        <w:pStyle w:val="Normal.0"/>
        <w:ind w:left="142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ОГРН</w:t>
      </w:r>
      <w:r>
        <w:rPr>
          <w:rFonts w:ascii="Arial" w:hAnsi="Arial"/>
          <w:sz w:val="20"/>
          <w:szCs w:val="20"/>
          <w:rtl w:val="0"/>
          <w:lang w:val="ru-RU"/>
        </w:rPr>
        <w:t xml:space="preserve">: 1217800067682; </w:t>
      </w:r>
      <w:r>
        <w:rPr>
          <w:rFonts w:ascii="Arial" w:hAnsi="Arial" w:hint="default"/>
          <w:sz w:val="20"/>
          <w:szCs w:val="20"/>
          <w:rtl w:val="0"/>
          <w:lang w:val="ru-RU"/>
        </w:rPr>
        <w:t>ИНН</w:t>
      </w:r>
      <w:r>
        <w:rPr>
          <w:rFonts w:ascii="Arial" w:hAnsi="Arial"/>
          <w:sz w:val="20"/>
          <w:szCs w:val="20"/>
          <w:rtl w:val="0"/>
          <w:lang w:val="ru-RU"/>
        </w:rPr>
        <w:t xml:space="preserve">: 7810918345; </w:t>
      </w:r>
      <w:r>
        <w:rPr>
          <w:rFonts w:ascii="Arial" w:hAnsi="Arial" w:hint="default"/>
          <w:sz w:val="20"/>
          <w:szCs w:val="20"/>
          <w:rtl w:val="0"/>
          <w:lang w:val="ru-RU"/>
        </w:rPr>
        <w:t>КПП</w:t>
      </w:r>
      <w:r>
        <w:rPr>
          <w:rFonts w:ascii="Arial" w:hAnsi="Arial"/>
          <w:sz w:val="20"/>
          <w:szCs w:val="20"/>
          <w:rtl w:val="0"/>
          <w:lang w:val="ru-RU"/>
        </w:rPr>
        <w:t>: 781001001</w:t>
      </w:r>
    </w:p>
    <w:p>
      <w:pPr>
        <w:pStyle w:val="Normal.0"/>
        <w:ind w:left="142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Юридический и фактический адрес</w:t>
      </w:r>
      <w:r>
        <w:rPr>
          <w:rFonts w:ascii="Arial" w:hAnsi="Arial"/>
          <w:sz w:val="20"/>
          <w:szCs w:val="20"/>
          <w:rtl w:val="0"/>
          <w:lang w:val="ru-RU"/>
        </w:rPr>
        <w:t xml:space="preserve">: 196084, </w:t>
      </w:r>
      <w:r>
        <w:rPr>
          <w:rFonts w:ascii="Arial" w:hAnsi="Arial" w:hint="default"/>
          <w:sz w:val="20"/>
          <w:szCs w:val="20"/>
          <w:rtl w:val="0"/>
          <w:lang w:val="ru-RU"/>
        </w:rPr>
        <w:t>г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САНКТ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ПЕТЕРБУРГ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ВН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>ТЕР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>Г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МУНИЦИПАЛЬНЫЙ ОКРУГ МОСКОВСКАЯ ЗАСТАВА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УЛ ЗАОЗЁРНАЯ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Д</w:t>
      </w:r>
      <w:r>
        <w:rPr>
          <w:rFonts w:ascii="Arial" w:hAnsi="Arial"/>
          <w:sz w:val="20"/>
          <w:szCs w:val="20"/>
          <w:rtl w:val="0"/>
          <w:lang w:val="ru-RU"/>
        </w:rPr>
        <w:t xml:space="preserve">. 8, </w:t>
      </w:r>
      <w:r>
        <w:rPr>
          <w:rFonts w:ascii="Arial" w:hAnsi="Arial" w:hint="default"/>
          <w:sz w:val="20"/>
          <w:szCs w:val="20"/>
          <w:rtl w:val="0"/>
          <w:lang w:val="ru-RU"/>
        </w:rPr>
        <w:t>К</w:t>
      </w:r>
      <w:r>
        <w:rPr>
          <w:rFonts w:ascii="Arial" w:hAnsi="Arial"/>
          <w:sz w:val="20"/>
          <w:szCs w:val="20"/>
          <w:rtl w:val="0"/>
          <w:lang w:val="ru-RU"/>
        </w:rPr>
        <w:t xml:space="preserve">. 2, </w:t>
      </w:r>
      <w:r>
        <w:rPr>
          <w:rFonts w:ascii="Arial" w:hAnsi="Arial" w:hint="default"/>
          <w:sz w:val="20"/>
          <w:szCs w:val="20"/>
          <w:rtl w:val="0"/>
          <w:lang w:val="ru-RU"/>
        </w:rPr>
        <w:t>ЛИТЕРА Б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ПОМЕЩ</w:t>
      </w:r>
      <w:r>
        <w:rPr>
          <w:rFonts w:ascii="Arial" w:hAnsi="Arial"/>
          <w:sz w:val="20"/>
          <w:szCs w:val="20"/>
          <w:rtl w:val="0"/>
          <w:lang w:val="ru-RU"/>
        </w:rPr>
        <w:t>. 1-</w:t>
      </w:r>
      <w:r>
        <w:rPr>
          <w:rFonts w:ascii="Arial" w:hAnsi="Arial" w:hint="default"/>
          <w:sz w:val="20"/>
          <w:szCs w:val="20"/>
          <w:rtl w:val="0"/>
          <w:lang w:val="ru-RU"/>
        </w:rPr>
        <w:t>Н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КОМ</w:t>
      </w:r>
      <w:r>
        <w:rPr>
          <w:rFonts w:ascii="Arial" w:hAnsi="Arial"/>
          <w:sz w:val="20"/>
          <w:szCs w:val="20"/>
          <w:rtl w:val="0"/>
          <w:lang w:val="ru-RU"/>
        </w:rPr>
        <w:t>. 23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 w:hint="default"/>
          <w:sz w:val="20"/>
          <w:szCs w:val="20"/>
          <w:rtl w:val="0"/>
          <w:lang w:val="ru-RU"/>
        </w:rPr>
        <w:t>Банк</w:t>
      </w:r>
      <w:r>
        <w:rPr>
          <w:rFonts w:ascii="Arial" w:hAnsi="Arial"/>
          <w:sz w:val="20"/>
          <w:szCs w:val="20"/>
          <w:rtl w:val="0"/>
          <w:lang w:val="ru-RU"/>
        </w:rPr>
        <w:t xml:space="preserve">: </w:t>
      </w:r>
      <w:r>
        <w:rPr>
          <w:rFonts w:ascii="Arial" w:hAnsi="Arial" w:hint="default"/>
          <w:sz w:val="20"/>
          <w:szCs w:val="20"/>
          <w:rtl w:val="0"/>
          <w:lang w:val="ru-RU"/>
        </w:rPr>
        <w:t>ФИЛИАЛ «САНКТ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ПЕТЕРБУРГСКИЙ» АО «АЛЬФА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БАНК»</w:t>
      </w:r>
      <w:r>
        <w:rPr>
          <w:rFonts w:ascii="Arial" w:hAnsi="Arial"/>
          <w:sz w:val="20"/>
          <w:szCs w:val="20"/>
          <w:rtl w:val="0"/>
          <w:lang w:val="ru-RU"/>
        </w:rPr>
        <w:t>;</w:t>
      </w:r>
    </w:p>
    <w:p>
      <w:pPr>
        <w:pStyle w:val="Normal.0"/>
        <w:ind w:left="142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К</w:t>
      </w:r>
      <w:r>
        <w:rPr>
          <w:rFonts w:ascii="Arial" w:hAnsi="Arial"/>
          <w:sz w:val="20"/>
          <w:szCs w:val="20"/>
          <w:rtl w:val="0"/>
          <w:lang w:val="ru-RU"/>
        </w:rPr>
        <w:t>/</w:t>
      </w:r>
      <w:r>
        <w:rPr>
          <w:rFonts w:ascii="Arial" w:hAnsi="Arial" w:hint="default"/>
          <w:sz w:val="20"/>
          <w:szCs w:val="20"/>
          <w:rtl w:val="0"/>
          <w:lang w:val="ru-RU"/>
        </w:rPr>
        <w:t>с</w:t>
      </w:r>
      <w:r>
        <w:rPr>
          <w:rFonts w:ascii="Arial" w:hAnsi="Arial"/>
          <w:sz w:val="20"/>
          <w:szCs w:val="20"/>
          <w:rtl w:val="0"/>
          <w:lang w:val="ru-RU"/>
        </w:rPr>
        <w:t>: 30101810600000000786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 w:hint="default"/>
          <w:sz w:val="20"/>
          <w:szCs w:val="20"/>
          <w:rtl w:val="0"/>
          <w:lang w:val="ru-RU"/>
        </w:rPr>
        <w:t>БИК</w:t>
      </w:r>
      <w:r>
        <w:rPr>
          <w:rFonts w:ascii="Arial" w:hAnsi="Arial"/>
          <w:sz w:val="20"/>
          <w:szCs w:val="20"/>
          <w:rtl w:val="0"/>
          <w:lang w:val="ru-RU"/>
        </w:rPr>
        <w:t>: 044030786</w:t>
      </w:r>
    </w:p>
    <w:p>
      <w:pPr>
        <w:pStyle w:val="Normal.0"/>
        <w:ind w:left="142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Контактный телефон</w:t>
      </w:r>
      <w:r>
        <w:rPr>
          <w:rFonts w:ascii="Arial" w:hAnsi="Arial"/>
          <w:sz w:val="20"/>
          <w:szCs w:val="20"/>
          <w:rtl w:val="0"/>
          <w:lang w:val="ru-RU"/>
        </w:rPr>
        <w:t>: 8-812-649-47-16, +7(903)095-09-10</w:t>
      </w:r>
    </w:p>
    <w:p>
      <w:pPr>
        <w:pStyle w:val="Normal.0"/>
        <w:ind w:left="142" w:firstLine="0"/>
      </w:pPr>
      <w:r>
        <w:rPr>
          <w:rFonts w:ascii="Arial" w:hAnsi="Arial"/>
          <w:sz w:val="20"/>
          <w:szCs w:val="20"/>
          <w:rtl w:val="0"/>
          <w:lang w:val="ru-RU"/>
        </w:rPr>
        <w:t>email: gip@gip.su</w:t>
      </w:r>
    </w:p>
    <w:sectPr>
      <w:headerReference w:type="default" r:id="rId4"/>
      <w:footerReference w:type="default" r:id="rId5"/>
      <w:pgSz w:w="11900" w:h="16840" w:orient="portrait"/>
      <w:pgMar w:top="728" w:right="850" w:bottom="993" w:left="85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20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20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20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20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20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20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20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20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20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20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20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20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20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20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20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20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20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20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767"/>
        </w:tabs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767"/>
        </w:tabs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1767"/>
        </w:tabs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1767"/>
        </w:tabs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1767"/>
        </w:tabs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1767"/>
        </w:tabs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1767"/>
        </w:tabs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767" w:hanging="1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767" w:hanging="1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20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20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100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6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20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20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88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242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242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602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602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962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962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88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242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242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602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602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962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962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88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242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242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602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602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962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962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88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242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242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602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602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962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962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88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242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242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602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602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962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962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88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242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242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602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602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962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962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88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242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242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602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602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962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962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88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242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242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602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602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962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962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88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242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242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602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602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962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962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6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991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991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351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351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711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711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6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991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991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351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351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711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711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6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991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991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351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351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711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711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2"/>
  </w:num>
  <w:num w:numId="5">
    <w:abstractNumId w:val="2"/>
    <w:lvlOverride w:ilvl="1">
      <w:startOverride w:val="3"/>
    </w:lvlOverride>
  </w:num>
  <w:num w:numId="6">
    <w:abstractNumId w:val="3"/>
  </w:num>
  <w:num w:numId="7">
    <w:abstractNumId w:val="3"/>
    <w:lvlOverride w:ilvl="1">
      <w:startOverride w:val="4"/>
    </w:lvlOverride>
  </w:num>
  <w:num w:numId="8">
    <w:abstractNumId w:val="4"/>
  </w:num>
  <w:num w:numId="9">
    <w:abstractNumId w:val="4"/>
    <w:lvlOverride w:ilvl="1">
      <w:startOverride w:val="5"/>
    </w:lvlOverride>
  </w:num>
  <w:num w:numId="10">
    <w:abstractNumId w:val="5"/>
  </w:num>
  <w:num w:numId="11">
    <w:abstractNumId w:val="5"/>
    <w:lvlOverride w:ilvl="1">
      <w:startOverride w:val="6"/>
    </w:lvlOverride>
  </w:num>
  <w:num w:numId="12">
    <w:abstractNumId w:val="6"/>
  </w:num>
  <w:num w:numId="13">
    <w:abstractNumId w:val="6"/>
    <w:lvlOverride w:ilvl="1">
      <w:startOverride w:val="7"/>
    </w:lvlOverride>
  </w:num>
  <w:num w:numId="14">
    <w:abstractNumId w:val="7"/>
  </w:num>
  <w:num w:numId="15">
    <w:abstractNumId w:val="7"/>
    <w:lvlOverride w:ilvl="1">
      <w:startOverride w:val="8"/>
    </w:lvlOverride>
  </w:num>
  <w:num w:numId="16">
    <w:abstractNumId w:val="8"/>
  </w:num>
  <w:num w:numId="17">
    <w:abstractNumId w:val="9"/>
  </w:num>
  <w:num w:numId="18">
    <w:abstractNumId w:val="9"/>
    <w:lvlOverride w:ilvl="1">
      <w:startOverride w:val="2"/>
    </w:lvlOverride>
  </w:num>
  <w:num w:numId="19">
    <w:abstractNumId w:val="10"/>
  </w:num>
  <w:num w:numId="20">
    <w:abstractNumId w:val="10"/>
    <w:lvlOverride w:ilvl="1">
      <w:startOverride w:val="3"/>
    </w:lvlOverride>
  </w:num>
  <w:num w:numId="21">
    <w:abstractNumId w:val="11"/>
  </w:num>
  <w:num w:numId="22">
    <w:abstractNumId w:val="11"/>
    <w:lvlOverride w:ilvl="1">
      <w:startOverride w:val="4"/>
    </w:lvlOverride>
  </w:num>
  <w:num w:numId="23">
    <w:abstractNumId w:val="12"/>
  </w:num>
  <w:num w:numId="24">
    <w:abstractNumId w:val="13"/>
  </w:num>
  <w:num w:numId="25">
    <w:abstractNumId w:val="13"/>
    <w:lvlOverride w:ilvl="1">
      <w:startOverride w:val="2"/>
    </w:lvlOverride>
  </w:num>
  <w:num w:numId="26">
    <w:abstractNumId w:val="14"/>
  </w:num>
  <w:num w:numId="27">
    <w:abstractNumId w:val="14"/>
    <w:lvlOverride w:ilvl="1">
      <w:startOverride w:val="3"/>
    </w:lvlOverride>
  </w:num>
  <w:num w:numId="28">
    <w:abstractNumId w:val="15"/>
  </w:num>
  <w:num w:numId="29">
    <w:abstractNumId w:val="15"/>
    <w:lvlOverride w:ilvl="1">
      <w:startOverride w:val="4"/>
    </w:lvlOverride>
  </w:num>
  <w:num w:numId="30">
    <w:abstractNumId w:val="16"/>
  </w:num>
  <w:num w:numId="31">
    <w:abstractNumId w:val="16"/>
    <w:lvlOverride w:ilvl="1">
      <w:startOverride w:val="5"/>
    </w:lvlOverride>
  </w:num>
  <w:num w:numId="32">
    <w:abstractNumId w:val="17"/>
  </w:num>
  <w:num w:numId="33">
    <w:abstractNumId w:val="17"/>
    <w:lvlOverride w:ilvl="1">
      <w:startOverride w:val="6"/>
    </w:lvlOverride>
  </w:num>
  <w:num w:numId="34">
    <w:abstractNumId w:val="18"/>
  </w:num>
  <w:num w:numId="35">
    <w:abstractNumId w:val="18"/>
    <w:lvlOverride w:ilvl="1">
      <w:startOverride w:val="7"/>
    </w:lvlOverride>
  </w:num>
  <w:num w:numId="36">
    <w:abstractNumId w:val="19"/>
  </w:num>
  <w:num w:numId="37">
    <w:abstractNumId w:val="19"/>
    <w:lvlOverride w:ilvl="1">
      <w:startOverride w:val="8"/>
    </w:lvlOverride>
  </w:num>
  <w:num w:numId="38">
    <w:abstractNumId w:val="20"/>
  </w:num>
  <w:num w:numId="39">
    <w:abstractNumId w:val="20"/>
    <w:lvlOverride w:ilvl="1">
      <w:startOverride w:val="9"/>
    </w:lvlOverride>
  </w:num>
  <w:num w:numId="40">
    <w:abstractNumId w:val="21"/>
  </w:num>
  <w:num w:numId="41">
    <w:abstractNumId w:val="22"/>
  </w:num>
  <w:num w:numId="42">
    <w:abstractNumId w:val="22"/>
    <w:lvlOverride w:ilvl="1">
      <w:startOverride w:val="2"/>
    </w:lvlOverride>
  </w:num>
  <w:num w:numId="43">
    <w:abstractNumId w:val="23"/>
  </w:num>
  <w:num w:numId="44">
    <w:abstractNumId w:val="23"/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1"/>
      <w:iCs w:val="1"/>
      <w:caps w:val="0"/>
      <w:smallCaps w:val="0"/>
      <w:strike w:val="0"/>
      <w:dstrike w:val="0"/>
      <w:outline w:val="0"/>
      <w:color w:val="44546a"/>
      <w:spacing w:val="0"/>
      <w:kern w:val="0"/>
      <w:position w:val="0"/>
      <w:sz w:val="18"/>
      <w:szCs w:val="18"/>
      <w:u w:val="none" w:color="44546a"/>
      <w:shd w:val="nil" w:color="auto" w:fill="auto"/>
      <w:vertAlign w:val="baseline"/>
      <w:lang w:val="ru-RU"/>
      <w14:textFill>
        <w14:solidFill>
          <w14:srgbClr w14:val="44546A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Arial" w:cs="Arial" w:hAnsi="Arial" w:eastAsia="Arial"/>
      <w:outline w:val="0"/>
      <w:color w:val="000000"/>
      <w:sz w:val="20"/>
      <w:szCs w:val="20"/>
      <w:u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